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C0" w:rsidRPr="00F367C0" w:rsidRDefault="00F367C0" w:rsidP="00F367C0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lang w:eastAsia="it-IT"/>
        </w:rPr>
      </w:pPr>
      <w:r w:rsidRPr="00F367C0">
        <w:rPr>
          <w:rFonts w:ascii="Tahoma" w:eastAsia="Times New Roman" w:hAnsi="Tahoma" w:cs="Tahoma"/>
          <w:color w:val="333333"/>
          <w:lang w:eastAsia="it-IT"/>
        </w:rPr>
        <w:t>Per quanto riguarda i criteri di valorizzazione dei beni (articoli 3 e 4 del decreto del Ministro del lavoro e delle politiche sociali del 28 novembre 2019), si evidenzia quanto segue:</w:t>
      </w:r>
    </w:p>
    <w:p w:rsidR="00F367C0" w:rsidRPr="00F367C0" w:rsidRDefault="00F367C0" w:rsidP="00F367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ahoma" w:eastAsia="Times New Roman" w:hAnsi="Tahoma" w:cs="Tahoma"/>
          <w:color w:val="333333"/>
          <w:lang w:eastAsia="it-IT"/>
        </w:rPr>
      </w:pPr>
      <w:r w:rsidRPr="00F367C0">
        <w:rPr>
          <w:rFonts w:ascii="Tahoma" w:eastAsia="Times New Roman" w:hAnsi="Tahoma" w:cs="Tahoma"/>
          <w:color w:val="333333"/>
          <w:lang w:eastAsia="it-IT"/>
        </w:rPr>
        <w:t xml:space="preserve">l’erogazione liberale in natura deve essere quantificata sulla base del valore normale del bene, definito ai sensi dell’art. 9 del </w:t>
      </w:r>
      <w:proofErr w:type="spellStart"/>
      <w:r w:rsidRPr="00F367C0">
        <w:rPr>
          <w:rFonts w:ascii="Tahoma" w:eastAsia="Times New Roman" w:hAnsi="Tahoma" w:cs="Tahoma"/>
          <w:color w:val="333333"/>
          <w:lang w:eastAsia="it-IT"/>
        </w:rPr>
        <w:t>Tuir</w:t>
      </w:r>
      <w:proofErr w:type="spellEnd"/>
      <w:r w:rsidRPr="00F367C0">
        <w:rPr>
          <w:rFonts w:ascii="Tahoma" w:eastAsia="Times New Roman" w:hAnsi="Tahoma" w:cs="Tahoma"/>
          <w:color w:val="333333"/>
          <w:lang w:eastAsia="it-IT"/>
        </w:rPr>
        <w:t>, ovvero assumendo il prezzo o corrispettivo che viene mediamente praticato sul mercato per i beni e i servizi della stessa specie o simili, in condizioni di libera concorrenza e al medesimo stadio di commercializzazione, nel tempo e nel luogo in cui i beni o servizi sono stati acquisiti o prestati e, in mancanza, nel tempo e nel luogo più prossimi;</w:t>
      </w:r>
    </w:p>
    <w:p w:rsidR="00F367C0" w:rsidRPr="00F367C0" w:rsidRDefault="00F367C0" w:rsidP="00F367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ahoma" w:eastAsia="Times New Roman" w:hAnsi="Tahoma" w:cs="Tahoma"/>
          <w:color w:val="333333"/>
          <w:lang w:eastAsia="it-IT"/>
        </w:rPr>
      </w:pPr>
      <w:r w:rsidRPr="00F367C0">
        <w:rPr>
          <w:rFonts w:ascii="Tahoma" w:eastAsia="Times New Roman" w:hAnsi="Tahoma" w:cs="Tahoma"/>
          <w:color w:val="333333"/>
          <w:lang w:eastAsia="it-IT"/>
        </w:rPr>
        <w:t>nel caso specifico dei beni strumentali il riferimento è al costo residuo non ammortizzato al momento del trasferimento;</w:t>
      </w:r>
    </w:p>
    <w:p w:rsidR="00F367C0" w:rsidRPr="00F367C0" w:rsidRDefault="00F367C0" w:rsidP="00F367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ahoma" w:eastAsia="Times New Roman" w:hAnsi="Tahoma" w:cs="Tahoma"/>
          <w:color w:val="333333"/>
          <w:lang w:eastAsia="it-IT"/>
        </w:rPr>
      </w:pPr>
      <w:r w:rsidRPr="00F367C0">
        <w:rPr>
          <w:rFonts w:ascii="Tahoma" w:eastAsia="Times New Roman" w:hAnsi="Tahoma" w:cs="Tahoma"/>
          <w:color w:val="333333"/>
          <w:lang w:eastAsia="it-IT"/>
        </w:rPr>
        <w:t xml:space="preserve">nei casi di beni prodotti o scambiati da imprese, rileva il minor valore tra quello normale e quello attribuito alle rimanenze ai sensi dell’art. 92 del </w:t>
      </w:r>
      <w:proofErr w:type="spellStart"/>
      <w:r w:rsidRPr="00F367C0">
        <w:rPr>
          <w:rFonts w:ascii="Tahoma" w:eastAsia="Times New Roman" w:hAnsi="Tahoma" w:cs="Tahoma"/>
          <w:color w:val="333333"/>
          <w:lang w:eastAsia="it-IT"/>
        </w:rPr>
        <w:t>Tuir</w:t>
      </w:r>
      <w:proofErr w:type="spellEnd"/>
      <w:r w:rsidRPr="00F367C0">
        <w:rPr>
          <w:rFonts w:ascii="Tahoma" w:eastAsia="Times New Roman" w:hAnsi="Tahoma" w:cs="Tahoma"/>
          <w:color w:val="333333"/>
          <w:lang w:eastAsia="it-IT"/>
        </w:rPr>
        <w:t>.</w:t>
      </w:r>
    </w:p>
    <w:p w:rsidR="00F367C0" w:rsidRPr="00F367C0" w:rsidRDefault="00F367C0" w:rsidP="00F367C0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lang w:eastAsia="it-IT"/>
        </w:rPr>
      </w:pPr>
      <w:r w:rsidRPr="00F367C0">
        <w:rPr>
          <w:rFonts w:ascii="Tahoma" w:eastAsia="Times New Roman" w:hAnsi="Tahoma" w:cs="Tahoma"/>
          <w:color w:val="333333"/>
          <w:lang w:eastAsia="it-IT"/>
        </w:rPr>
        <w:t>In ipotesi diverse e qualora il bene abbia un valore superiore a 30.000 euro è necessario che il donatore acquisisca una perizia giurata di stima con data non anteriore a 90 giorni dal trasferimento del bene.</w:t>
      </w:r>
    </w:p>
    <w:p w:rsidR="00F367C0" w:rsidRPr="00F367C0" w:rsidRDefault="00F367C0" w:rsidP="00F367C0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lang w:eastAsia="it-IT"/>
        </w:rPr>
      </w:pPr>
      <w:r w:rsidRPr="00F367C0">
        <w:rPr>
          <w:rFonts w:ascii="Tahoma" w:eastAsia="Times New Roman" w:hAnsi="Tahoma" w:cs="Tahoma"/>
          <w:color w:val="333333"/>
          <w:lang w:eastAsia="it-IT"/>
        </w:rPr>
        <w:t>Per quanto riguarda la documentazione da approntare, è necessario:</w:t>
      </w:r>
    </w:p>
    <w:p w:rsidR="00F367C0" w:rsidRPr="00F367C0" w:rsidRDefault="00F367C0" w:rsidP="00F367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ahoma" w:eastAsia="Times New Roman" w:hAnsi="Tahoma" w:cs="Tahoma"/>
          <w:color w:val="333333"/>
          <w:lang w:eastAsia="it-IT"/>
        </w:rPr>
      </w:pPr>
      <w:r w:rsidRPr="00F367C0">
        <w:rPr>
          <w:rFonts w:ascii="Tahoma" w:eastAsia="Times New Roman" w:hAnsi="Tahoma" w:cs="Tahoma"/>
          <w:color w:val="333333"/>
          <w:lang w:eastAsia="it-IT"/>
        </w:rPr>
        <w:t>una dichiarazione scritta da parte del donatore recante la descrizione analitica dei beni donati, con l’indicazione dei relativi valori e la perizia di stima ove prevista;</w:t>
      </w:r>
    </w:p>
    <w:p w:rsidR="00F367C0" w:rsidRPr="00F367C0" w:rsidRDefault="00F367C0" w:rsidP="00F367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Tahoma" w:eastAsia="Times New Roman" w:hAnsi="Tahoma" w:cs="Tahoma"/>
          <w:color w:val="333333"/>
          <w:lang w:eastAsia="it-IT"/>
        </w:rPr>
      </w:pPr>
      <w:r w:rsidRPr="00F367C0">
        <w:rPr>
          <w:rFonts w:ascii="Tahoma" w:eastAsia="Times New Roman" w:hAnsi="Tahoma" w:cs="Tahoma"/>
          <w:color w:val="333333"/>
          <w:lang w:eastAsia="it-IT"/>
        </w:rPr>
        <w:t>una dichiarazione scritta dell’ente destinatario dell’erogazione contenente l’impegno ad utilizzare direttamente i beni ricevuti per lo svolgimento delle attività atte all’esclusivo perseguimento di finalità civiche, solidaristiche e di utilità sociale direttamente collegate all’”Emergenza Covid-19 – Protezione Civile”.</w:t>
      </w:r>
    </w:p>
    <w:p w:rsidR="00C222C7" w:rsidRPr="00F367C0" w:rsidRDefault="00F367C0">
      <w:pPr>
        <w:rPr>
          <w:rFonts w:ascii="Tahoma" w:hAnsi="Tahoma" w:cs="Tahoma"/>
        </w:rPr>
      </w:pPr>
    </w:p>
    <w:sectPr w:rsidR="00C222C7" w:rsidRPr="00F367C0" w:rsidSect="007751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7F53"/>
    <w:multiLevelType w:val="multilevel"/>
    <w:tmpl w:val="A19E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54F3D"/>
    <w:multiLevelType w:val="multilevel"/>
    <w:tmpl w:val="3312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67C0"/>
    <w:rsid w:val="00055CB1"/>
    <w:rsid w:val="00330CD1"/>
    <w:rsid w:val="00753EBD"/>
    <w:rsid w:val="007751DF"/>
    <w:rsid w:val="00A71844"/>
    <w:rsid w:val="00EA4540"/>
    <w:rsid w:val="00F3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1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3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367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Dora</cp:lastModifiedBy>
  <cp:revision>1</cp:revision>
  <dcterms:created xsi:type="dcterms:W3CDTF">2020-03-25T18:13:00Z</dcterms:created>
  <dcterms:modified xsi:type="dcterms:W3CDTF">2020-03-25T18:14:00Z</dcterms:modified>
</cp:coreProperties>
</file>